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548" w:rsidRPr="00F147FD" w:rsidRDefault="000D0A1C" w:rsidP="00EE1548">
      <w:pPr>
        <w:rPr>
          <w:rFonts w:ascii="Arial" w:hAnsi="Arial" w:cs="Arial"/>
          <w:sz w:val="22"/>
          <w:szCs w:val="22"/>
        </w:rPr>
      </w:pPr>
      <w:r w:rsidRPr="00F147FD">
        <w:rPr>
          <w:rFonts w:ascii="Arial" w:hAnsi="Arial" w:cs="Arial"/>
          <w:sz w:val="22"/>
          <w:szCs w:val="22"/>
        </w:rPr>
        <w:t>Anlage 4</w:t>
      </w:r>
    </w:p>
    <w:p w:rsidR="00EE1548" w:rsidRDefault="00EE1548" w:rsidP="00EE1548">
      <w:pPr>
        <w:rPr>
          <w:rFonts w:ascii="Arial" w:hAnsi="Arial" w:cs="Arial"/>
          <w:sz w:val="22"/>
          <w:szCs w:val="22"/>
        </w:rPr>
      </w:pPr>
    </w:p>
    <w:p w:rsidR="00E423D2" w:rsidRDefault="00F147FD">
      <w:pPr>
        <w:rPr>
          <w:rFonts w:ascii="Arial" w:hAnsi="Arial" w:cs="Arial"/>
          <w:sz w:val="22"/>
          <w:szCs w:val="22"/>
        </w:rPr>
      </w:pPr>
      <w:r>
        <w:rPr>
          <w:rFonts w:ascii="Arial" w:hAnsi="Arial" w:cs="Arial"/>
          <w:sz w:val="22"/>
          <w:szCs w:val="22"/>
        </w:rPr>
        <w:t>Auszüge aus den Rechtsgrundlagen der Datenschutzbestimmungen für Träger der Jugen</w:t>
      </w:r>
      <w:r>
        <w:rPr>
          <w:rFonts w:ascii="Arial" w:hAnsi="Arial" w:cs="Arial"/>
          <w:sz w:val="22"/>
          <w:szCs w:val="22"/>
        </w:rPr>
        <w:t>d</w:t>
      </w:r>
      <w:r>
        <w:rPr>
          <w:rFonts w:ascii="Arial" w:hAnsi="Arial" w:cs="Arial"/>
          <w:sz w:val="22"/>
          <w:szCs w:val="22"/>
        </w:rPr>
        <w:t>hilfe und Empfehlung zur Verpflichtung auf das Sozialgeheimnis nach § 35 SGB I</w:t>
      </w:r>
    </w:p>
    <w:p w:rsidR="00F147FD" w:rsidRPr="007A65D6" w:rsidRDefault="00F147FD">
      <w:pPr>
        <w:rPr>
          <w:rFonts w:ascii="Arial" w:hAnsi="Arial" w:cs="Arial"/>
          <w:b/>
          <w:bCs/>
          <w:sz w:val="22"/>
          <w:szCs w:val="22"/>
        </w:rPr>
      </w:pPr>
    </w:p>
    <w:p w:rsidR="00E423D2" w:rsidRPr="007A65D6" w:rsidRDefault="00E423D2" w:rsidP="00E423D2">
      <w:pPr>
        <w:pStyle w:val="berschrift1"/>
        <w:rPr>
          <w:sz w:val="22"/>
          <w:szCs w:val="22"/>
        </w:rPr>
      </w:pPr>
      <w:r w:rsidRPr="007A65D6">
        <w:rPr>
          <w:sz w:val="22"/>
          <w:szCs w:val="22"/>
        </w:rPr>
        <w:t>SGB VIII § 61 Anwendungsbereich</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Für den Schutz von Sozialdaten bei ihrer Erhebung und Verwendung in der Jugendhilfe gelten § 35 des Ersten Buches, §§ 67 bis 85a des Zehnten Buches sowie die nachfolgenden Vorschriften. Sie gelten für alle Stellen des Trägers der öffentlichen Jugendhilfe, soweit sie Aufgaben nach diesem Buch wahrnehmen. Für die Wahrnehmung von Aufgaben nach di</w:t>
      </w:r>
      <w:r w:rsidRPr="007A65D6">
        <w:rPr>
          <w:rFonts w:ascii="Arial" w:hAnsi="Arial" w:cs="Arial"/>
          <w:sz w:val="22"/>
          <w:szCs w:val="22"/>
        </w:rPr>
        <w:t>e</w:t>
      </w:r>
      <w:r w:rsidRPr="007A65D6">
        <w:rPr>
          <w:rFonts w:ascii="Arial" w:hAnsi="Arial" w:cs="Arial"/>
          <w:sz w:val="22"/>
          <w:szCs w:val="22"/>
        </w:rPr>
        <w:t>sem Buch durch kreisangehörige Gemeinden und Gemeindeverbände, die nicht örtliche Tr</w:t>
      </w:r>
      <w:r w:rsidRPr="007A65D6">
        <w:rPr>
          <w:rFonts w:ascii="Arial" w:hAnsi="Arial" w:cs="Arial"/>
          <w:sz w:val="22"/>
          <w:szCs w:val="22"/>
        </w:rPr>
        <w:t>ä</w:t>
      </w:r>
      <w:r w:rsidRPr="007A65D6">
        <w:rPr>
          <w:rFonts w:ascii="Arial" w:hAnsi="Arial" w:cs="Arial"/>
          <w:sz w:val="22"/>
          <w:szCs w:val="22"/>
        </w:rPr>
        <w:t>ger sind, gelten die Sätze 1 und 2 entsprechend.</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(2) Für den Schutz von Sozialdaten bei ihrer Erhebung und Verwendung im Rahmen der Tätigkeit des Jugendamts als Amtspfleger, Amtsvormund, Beistand und Gegenvormund gilt nur § 68 SGB X.</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(3) Werden Einrichtungen und Dienste der Träger der freien Jugendhilfe in Anspruch g</w:t>
      </w:r>
      <w:r w:rsidRPr="007A65D6">
        <w:rPr>
          <w:rFonts w:ascii="Arial" w:hAnsi="Arial" w:cs="Arial"/>
          <w:sz w:val="22"/>
          <w:szCs w:val="22"/>
        </w:rPr>
        <w:t>e</w:t>
      </w:r>
      <w:r w:rsidRPr="007A65D6">
        <w:rPr>
          <w:rFonts w:ascii="Arial" w:hAnsi="Arial" w:cs="Arial"/>
          <w:sz w:val="22"/>
          <w:szCs w:val="22"/>
        </w:rPr>
        <w:t>nommen, so ist sicherzustellen, dass der Schutz der personenbezogenen Daten bei der E</w:t>
      </w:r>
      <w:r w:rsidRPr="007A65D6">
        <w:rPr>
          <w:rFonts w:ascii="Arial" w:hAnsi="Arial" w:cs="Arial"/>
          <w:sz w:val="22"/>
          <w:szCs w:val="22"/>
        </w:rPr>
        <w:t>r</w:t>
      </w:r>
      <w:r w:rsidRPr="007A65D6">
        <w:rPr>
          <w:rFonts w:ascii="Arial" w:hAnsi="Arial" w:cs="Arial"/>
          <w:sz w:val="22"/>
          <w:szCs w:val="22"/>
        </w:rPr>
        <w:t>hebung und Verwendung in entsprechender Weise gewährleistet ist.</w:t>
      </w:r>
    </w:p>
    <w:p w:rsidR="00E423D2" w:rsidRPr="007A65D6" w:rsidRDefault="00E423D2" w:rsidP="00E423D2">
      <w:pPr>
        <w:pStyle w:val="berschrift1"/>
        <w:rPr>
          <w:sz w:val="22"/>
          <w:szCs w:val="22"/>
        </w:rPr>
      </w:pPr>
      <w:r w:rsidRPr="007A65D6">
        <w:rPr>
          <w:sz w:val="22"/>
          <w:szCs w:val="22"/>
        </w:rPr>
        <w:t>SGB VIII § 62 Datenerhebung</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Sozialdaten dürfen nur erhoben werden, soweit ihre Kenntnis zur Erfüllung der jeweiligen Aufgabe erforderlich ist.</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(2) Sozialdaten sind beim Betroffenen zu erheben. Er ist über die Rechtsgrundlage der E</w:t>
      </w:r>
      <w:r w:rsidRPr="007A65D6">
        <w:rPr>
          <w:rFonts w:ascii="Arial" w:hAnsi="Arial" w:cs="Arial"/>
          <w:sz w:val="22"/>
          <w:szCs w:val="22"/>
        </w:rPr>
        <w:t>r</w:t>
      </w:r>
      <w:r w:rsidRPr="007A65D6">
        <w:rPr>
          <w:rFonts w:ascii="Arial" w:hAnsi="Arial" w:cs="Arial"/>
          <w:sz w:val="22"/>
          <w:szCs w:val="22"/>
        </w:rPr>
        <w:t>hebung sowie die Zweckbestimmungen der Erhebung und Verwendung aufzuklären, soweit diese nicht offenkundig sind.</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(3) Ohne Mitwirkung des Betroffenen dürfen Sozialdaten nur erhoben werden, wenn</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eine gesetzliche Bestimmung dies vorschreibt oder erlaubt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2. ihre Erhebung beim Betroffenen nicht möglich ist oder die jeweilige Aufgabe ihrer Art nach eine Erhebung bei anderen erfordert, die Kenntnis der Daten aber erforderlich ist für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a) die Feststellung der Voraussetzungen oder für die Erfüllung einer Leistung nach diesem Buch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b) die Feststellung der Voraussetzungen für die Erstattung einer Leistung nach § 50 des Zehnten Buches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c) die Wahrnehmung einer Aufgabe nach den §§ 42 bis 48a und nach § 52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d) die Erfüllung des Schutzauftrages bei Kindeswohlgefährdung nach § 8a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3. die Erhebung beim Betroffenen einen unverhältnismäßigen Aufwand erfordern würde und keine Anhaltspunkte dafür bestehen, dass schutzwürdige Interessen des Betroffenen beei</w:t>
      </w:r>
      <w:r w:rsidRPr="007A65D6">
        <w:rPr>
          <w:rFonts w:ascii="Arial" w:hAnsi="Arial" w:cs="Arial"/>
          <w:sz w:val="22"/>
          <w:szCs w:val="22"/>
        </w:rPr>
        <w:t>n</w:t>
      </w:r>
      <w:r w:rsidRPr="007A65D6">
        <w:rPr>
          <w:rFonts w:ascii="Arial" w:hAnsi="Arial" w:cs="Arial"/>
          <w:sz w:val="22"/>
          <w:szCs w:val="22"/>
        </w:rPr>
        <w:t>trächtigt werden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4. die Erhebung bei dem Betroffenen den Zugang zur Hilfe ernsthaft gefährden würde.</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(4) Ist der Betroffene nicht zugleich Leistungsberechtigter oder sonst an der Leistung bete</w:t>
      </w:r>
      <w:r w:rsidRPr="007A65D6">
        <w:rPr>
          <w:rFonts w:ascii="Arial" w:hAnsi="Arial" w:cs="Arial"/>
          <w:sz w:val="22"/>
          <w:szCs w:val="22"/>
        </w:rPr>
        <w:t>i</w:t>
      </w:r>
      <w:r w:rsidRPr="007A65D6">
        <w:rPr>
          <w:rFonts w:ascii="Arial" w:hAnsi="Arial" w:cs="Arial"/>
          <w:sz w:val="22"/>
          <w:szCs w:val="22"/>
        </w:rPr>
        <w:t>ligt, so dürfen die Daten auch beim Leistungsberechtigten oder einer anderen Person, die sonst an der Leistung beteiligt ist, erhoben werden, wenn die Kenntnis der Daten für die G</w:t>
      </w:r>
      <w:r w:rsidRPr="007A65D6">
        <w:rPr>
          <w:rFonts w:ascii="Arial" w:hAnsi="Arial" w:cs="Arial"/>
          <w:sz w:val="22"/>
          <w:szCs w:val="22"/>
        </w:rPr>
        <w:t>e</w:t>
      </w:r>
      <w:r w:rsidRPr="007A65D6">
        <w:rPr>
          <w:rFonts w:ascii="Arial" w:hAnsi="Arial" w:cs="Arial"/>
          <w:sz w:val="22"/>
          <w:szCs w:val="22"/>
        </w:rPr>
        <w:t>währung einer Leistung nach diesem Buch notwendig ist.</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Satz 1 gilt bei der Erfüllung anderer Aufgaben im Sinne des § 2 Abs. 3 entsprechend.</w:t>
      </w:r>
    </w:p>
    <w:p w:rsidR="00E423D2" w:rsidRPr="007A65D6" w:rsidRDefault="00E423D2" w:rsidP="00E423D2">
      <w:pPr>
        <w:pStyle w:val="berschrift1"/>
        <w:rPr>
          <w:sz w:val="22"/>
          <w:szCs w:val="22"/>
        </w:rPr>
      </w:pPr>
      <w:r w:rsidRPr="007A65D6">
        <w:rPr>
          <w:sz w:val="22"/>
          <w:szCs w:val="22"/>
        </w:rPr>
        <w:t>SGB VIII § 63 Datenspeicherung</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Sozialdaten dürfen gespeichert werden, soweit dies für die Erfüllung der jeweiligen Au</w:t>
      </w:r>
      <w:r w:rsidRPr="007A65D6">
        <w:rPr>
          <w:rFonts w:ascii="Arial" w:hAnsi="Arial" w:cs="Arial"/>
          <w:sz w:val="22"/>
          <w:szCs w:val="22"/>
        </w:rPr>
        <w:t>f</w:t>
      </w:r>
      <w:r w:rsidRPr="007A65D6">
        <w:rPr>
          <w:rFonts w:ascii="Arial" w:hAnsi="Arial" w:cs="Arial"/>
          <w:sz w:val="22"/>
          <w:szCs w:val="22"/>
        </w:rPr>
        <w:t>gabe erforderlich ist.</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(2) Daten, die zur Erfüllung unterschiedlicher Aufgaben der öffentlichen Jugendhilfe erhoben worden sind, dürfen nur zusammengeführt werden, wenn und solange dies wegen eines unmittelbaren Sachzusammenhangs erforderlich ist. Daten, die zu Leistungszwecken im Sinne des § 2 Abs. 2 und Daten, die für andere Aufgaben im Sinne des § 2 Abs. 3 erhoben worden sind, dürfen nur zusammengeführt werden, soweit dies zur Erfüllung der jeweiligen Aufgabe erforderlich ist.</w:t>
      </w:r>
    </w:p>
    <w:p w:rsidR="00E423D2" w:rsidRPr="007A65D6" w:rsidRDefault="00E423D2" w:rsidP="00E423D2">
      <w:pPr>
        <w:pStyle w:val="berschrift1"/>
        <w:rPr>
          <w:sz w:val="22"/>
          <w:szCs w:val="22"/>
        </w:rPr>
      </w:pPr>
      <w:r w:rsidRPr="007A65D6">
        <w:rPr>
          <w:sz w:val="22"/>
          <w:szCs w:val="22"/>
        </w:rPr>
        <w:t>SGB VIII § 64 Datenübermittlung und -nutzung</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Sozialdaten dürfen zu dem Zweck übermittelt oder genutzt werden, zu dem sie erhoben worden sind.</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lastRenderedPageBreak/>
        <w:t>(2) Eine Übermittlung für die Erfüllung von Aufgaben nach § 69 des Zehnten Buches ist a</w:t>
      </w:r>
      <w:r w:rsidRPr="007A65D6">
        <w:rPr>
          <w:rFonts w:ascii="Arial" w:hAnsi="Arial" w:cs="Arial"/>
          <w:sz w:val="22"/>
          <w:szCs w:val="22"/>
        </w:rPr>
        <w:t>b</w:t>
      </w:r>
      <w:r w:rsidRPr="007A65D6">
        <w:rPr>
          <w:rFonts w:ascii="Arial" w:hAnsi="Arial" w:cs="Arial"/>
          <w:sz w:val="22"/>
          <w:szCs w:val="22"/>
        </w:rPr>
        <w:t>weichend von Absatz 1 nur zulässig, soweit dadurch der Erfolg einer zu gewährenden Lei</w:t>
      </w:r>
      <w:r w:rsidRPr="007A65D6">
        <w:rPr>
          <w:rFonts w:ascii="Arial" w:hAnsi="Arial" w:cs="Arial"/>
          <w:sz w:val="22"/>
          <w:szCs w:val="22"/>
        </w:rPr>
        <w:t>s</w:t>
      </w:r>
      <w:r w:rsidRPr="007A65D6">
        <w:rPr>
          <w:rFonts w:ascii="Arial" w:hAnsi="Arial" w:cs="Arial"/>
          <w:sz w:val="22"/>
          <w:szCs w:val="22"/>
        </w:rPr>
        <w:t>tung nicht infrage gestellt wird.</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 xml:space="preserve">(2a) Vor einer Übermittlung an eine Fachkraft, die der verantwortlichen Stelle nicht angehört, sind die Sozialdaten zu anonymisieren oder zu </w:t>
      </w:r>
      <w:proofErr w:type="spellStart"/>
      <w:r w:rsidRPr="007A65D6">
        <w:rPr>
          <w:rFonts w:ascii="Arial" w:hAnsi="Arial" w:cs="Arial"/>
          <w:sz w:val="22"/>
          <w:szCs w:val="22"/>
        </w:rPr>
        <w:t>pseudonymisieren</w:t>
      </w:r>
      <w:proofErr w:type="spellEnd"/>
      <w:r w:rsidRPr="007A65D6">
        <w:rPr>
          <w:rFonts w:ascii="Arial" w:hAnsi="Arial" w:cs="Arial"/>
          <w:sz w:val="22"/>
          <w:szCs w:val="22"/>
        </w:rPr>
        <w:t>, soweit die Aufgabenerfü</w:t>
      </w:r>
      <w:r w:rsidRPr="007A65D6">
        <w:rPr>
          <w:rFonts w:ascii="Arial" w:hAnsi="Arial" w:cs="Arial"/>
          <w:sz w:val="22"/>
          <w:szCs w:val="22"/>
        </w:rPr>
        <w:t>l</w:t>
      </w:r>
      <w:r w:rsidRPr="007A65D6">
        <w:rPr>
          <w:rFonts w:ascii="Arial" w:hAnsi="Arial" w:cs="Arial"/>
          <w:sz w:val="22"/>
          <w:szCs w:val="22"/>
        </w:rPr>
        <w:t>lung dies zulässt.</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(3) Sozialdaten dürfen beim Träger der öffentlichen Jugendhilfe zum Zwecke der Planung im Sinne des § 80 gespeichert oder genutzt werden; sie sind unverzüglich zu anonymisieren.</w:t>
      </w:r>
    </w:p>
    <w:p w:rsidR="00E423D2" w:rsidRPr="007A65D6" w:rsidRDefault="00E423D2" w:rsidP="00E423D2">
      <w:pPr>
        <w:pStyle w:val="berschrift1"/>
        <w:rPr>
          <w:sz w:val="22"/>
          <w:szCs w:val="22"/>
        </w:rPr>
      </w:pPr>
      <w:r w:rsidRPr="007A65D6">
        <w:rPr>
          <w:sz w:val="22"/>
          <w:szCs w:val="22"/>
        </w:rPr>
        <w:t>SGB VIII § 65 Besonderer Vertrauensschutz in der persönlichen und erzieherischen Hilfe</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Sozialdaten, die dem Mitarbeiter eines Trägers der öffentlichen Jugendhilfe zum Zweck persönlicher und erzieherischer Hilfe anvertraut worden sind, dürfen von diesem nur weite</w:t>
      </w:r>
      <w:r w:rsidRPr="007A65D6">
        <w:rPr>
          <w:rFonts w:ascii="Arial" w:hAnsi="Arial" w:cs="Arial"/>
          <w:sz w:val="22"/>
          <w:szCs w:val="22"/>
        </w:rPr>
        <w:t>r</w:t>
      </w:r>
      <w:r w:rsidRPr="007A65D6">
        <w:rPr>
          <w:rFonts w:ascii="Arial" w:hAnsi="Arial" w:cs="Arial"/>
          <w:sz w:val="22"/>
          <w:szCs w:val="22"/>
        </w:rPr>
        <w:t>gegeben werden</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mit der Einwilligung dessen, der die Daten anvertraut hat,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2. dem Vormundschafts- oder dem Familiengericht zur Erfüllung der Aufgaben nach § 8a Abs. 3, wenn angesichts einer Gefährdung des Wohls eines Kindes oder eines Jugendlichen ohne diese Mitteilung eine für die Gewährung von</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Leistungen notwendige gerichtliche Entscheidung nicht ermöglicht werden könnte,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3. dem Mitarbeiter, der aufgrund eines Wechsels der Fallzuständigkeit im Jugendamt oder eines Wechsels der örtlichen Zuständigkeit für die Gewährung oder Erbringung der Leistung verantwortlich ist, wenn Anhaltspunkte für eine Gefährdung des Kindeswohls gegeben sind und die Daten für eine Abschätzung des Gefährdungsrisikos notwendig sind,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4. an die Fachkräfte, die zum Zwecke der Abschätzung des Gefährdungsrisikos nach § 8a hinzugezogen werden; § 64 Abs. 2a bleibt unberührt, oder</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5. unter den Voraussetzungen, unter denen eine der in § 203 Abs. 1 oder 3 des Strafgeset</w:t>
      </w:r>
      <w:r w:rsidRPr="007A65D6">
        <w:rPr>
          <w:rFonts w:ascii="Arial" w:hAnsi="Arial" w:cs="Arial"/>
          <w:sz w:val="22"/>
          <w:szCs w:val="22"/>
        </w:rPr>
        <w:t>z</w:t>
      </w:r>
      <w:r w:rsidRPr="007A65D6">
        <w:rPr>
          <w:rFonts w:ascii="Arial" w:hAnsi="Arial" w:cs="Arial"/>
          <w:sz w:val="22"/>
          <w:szCs w:val="22"/>
        </w:rPr>
        <w:t>buches genannten Personen dazu befugt wäre.</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Gibt der Mitarbeiter anvertraute Sozialdaten weiter, so dürfen sie vom Empfänger nur zu dem Zweck weitergegeben werden, zu dem er diese befugt erhalten hat.</w:t>
      </w:r>
    </w:p>
    <w:p w:rsidR="00E423D2"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 xml:space="preserve">(2) § 35 Abs. 3 des Ersten Buches gilt auch, soweit ein behördeninternes </w:t>
      </w:r>
      <w:proofErr w:type="spellStart"/>
      <w:r w:rsidRPr="007A65D6">
        <w:rPr>
          <w:rFonts w:ascii="Arial" w:hAnsi="Arial" w:cs="Arial"/>
          <w:sz w:val="22"/>
          <w:szCs w:val="22"/>
        </w:rPr>
        <w:t>Weitergabeverbot</w:t>
      </w:r>
      <w:proofErr w:type="spellEnd"/>
      <w:r w:rsidRPr="007A65D6">
        <w:rPr>
          <w:rFonts w:ascii="Arial" w:hAnsi="Arial" w:cs="Arial"/>
          <w:sz w:val="22"/>
          <w:szCs w:val="22"/>
        </w:rPr>
        <w:t xml:space="preserve"> nach Absatz 1 besteht.</w:t>
      </w:r>
    </w:p>
    <w:p w:rsidR="007C17AC" w:rsidRDefault="007C17AC" w:rsidP="007C17AC">
      <w:pPr>
        <w:pStyle w:val="berschrift1"/>
        <w:ind w:right="-494"/>
        <w:rPr>
          <w:sz w:val="22"/>
          <w:szCs w:val="22"/>
        </w:rPr>
      </w:pPr>
      <w:r w:rsidRPr="007C17AC">
        <w:rPr>
          <w:sz w:val="22"/>
          <w:szCs w:val="22"/>
        </w:rPr>
        <w:t>§ 72a Tätigkeitsausschluss einschlägig vorbestrafter Personen</w:t>
      </w:r>
    </w:p>
    <w:p w:rsidR="003B1E1F" w:rsidRDefault="003B1E1F" w:rsidP="003B1E1F">
      <w:pPr>
        <w:pStyle w:val="Listenabsatz"/>
        <w:autoSpaceDE w:val="0"/>
        <w:autoSpaceDN w:val="0"/>
        <w:adjustRightInd w:val="0"/>
        <w:ind w:left="0"/>
        <w:rPr>
          <w:rFonts w:ascii="Arial" w:hAnsi="Arial" w:cs="Arial"/>
          <w:sz w:val="22"/>
          <w:szCs w:val="22"/>
        </w:rPr>
      </w:pPr>
      <w:r w:rsidRPr="007A65D6">
        <w:rPr>
          <w:rFonts w:ascii="Arial" w:hAnsi="Arial" w:cs="Arial"/>
          <w:sz w:val="22"/>
          <w:szCs w:val="22"/>
        </w:rPr>
        <w:t xml:space="preserve">(1) </w:t>
      </w:r>
      <w:r w:rsidR="007C17AC" w:rsidRPr="003B1E1F">
        <w:rPr>
          <w:rFonts w:ascii="Arial" w:hAnsi="Arial" w:cs="Arial"/>
          <w:sz w:val="22"/>
          <w:szCs w:val="22"/>
        </w:rPr>
        <w:t>Träger der öffentlichen und freien Jugendhilfe dürfen von den nach den Absätzen 3 und 4 eingesehenen Daten nur den Umstand, dass Einsicht in ein Führungszeugnis genommen wurde, das Datum des Führungszeugnisses und die Information erheben, ob die das Fü</w:t>
      </w:r>
      <w:r w:rsidR="007C17AC" w:rsidRPr="003B1E1F">
        <w:rPr>
          <w:rFonts w:ascii="Arial" w:hAnsi="Arial" w:cs="Arial"/>
          <w:sz w:val="22"/>
          <w:szCs w:val="22"/>
        </w:rPr>
        <w:t>h</w:t>
      </w:r>
      <w:r w:rsidR="007C17AC" w:rsidRPr="003B1E1F">
        <w:rPr>
          <w:rFonts w:ascii="Arial" w:hAnsi="Arial" w:cs="Arial"/>
          <w:sz w:val="22"/>
          <w:szCs w:val="22"/>
        </w:rPr>
        <w:t xml:space="preserve">rungszeugnis betreffende Person wegen einer Straftat nach Absatz 1 Satz 1 rechtskräftig verurteilt worden ist. </w:t>
      </w:r>
    </w:p>
    <w:p w:rsidR="003B1E1F" w:rsidRDefault="003B1E1F" w:rsidP="003B1E1F">
      <w:pPr>
        <w:pStyle w:val="Listenabsatz"/>
        <w:autoSpaceDE w:val="0"/>
        <w:autoSpaceDN w:val="0"/>
        <w:adjustRightInd w:val="0"/>
        <w:ind w:left="0"/>
        <w:rPr>
          <w:rFonts w:ascii="Arial" w:hAnsi="Arial" w:cs="Arial"/>
          <w:sz w:val="22"/>
          <w:szCs w:val="22"/>
        </w:rPr>
      </w:pPr>
      <w:r w:rsidRPr="007A65D6">
        <w:rPr>
          <w:rFonts w:ascii="Arial" w:hAnsi="Arial" w:cs="Arial"/>
          <w:sz w:val="22"/>
          <w:szCs w:val="22"/>
        </w:rPr>
        <w:t xml:space="preserve">(2) </w:t>
      </w:r>
      <w:r w:rsidR="007C17AC" w:rsidRPr="003B1E1F">
        <w:rPr>
          <w:rFonts w:ascii="Arial" w:hAnsi="Arial" w:cs="Arial"/>
          <w:sz w:val="22"/>
          <w:szCs w:val="22"/>
        </w:rPr>
        <w:t>Die Träger der öffentlichen und freien Jugendhilfe dürfen diese erhobenen Daten nur speichern, verändern und nutzen, soweit dies zum Ausschluss der Personen von der Täti</w:t>
      </w:r>
      <w:r w:rsidR="007C17AC" w:rsidRPr="003B1E1F">
        <w:rPr>
          <w:rFonts w:ascii="Arial" w:hAnsi="Arial" w:cs="Arial"/>
          <w:sz w:val="22"/>
          <w:szCs w:val="22"/>
        </w:rPr>
        <w:t>g</w:t>
      </w:r>
      <w:r w:rsidR="007C17AC" w:rsidRPr="003B1E1F">
        <w:rPr>
          <w:rFonts w:ascii="Arial" w:hAnsi="Arial" w:cs="Arial"/>
          <w:sz w:val="22"/>
          <w:szCs w:val="22"/>
        </w:rPr>
        <w:t xml:space="preserve">keit, die Anlass zu der Einsichtnahme in das Führungszeugnis gewesen ist, erforderlich ist. </w:t>
      </w:r>
      <w:r>
        <w:rPr>
          <w:rFonts w:ascii="Arial" w:hAnsi="Arial" w:cs="Arial"/>
          <w:sz w:val="22"/>
          <w:szCs w:val="22"/>
        </w:rPr>
        <w:t>(</w:t>
      </w:r>
      <w:r w:rsidR="007C17AC" w:rsidRPr="003B1E1F">
        <w:rPr>
          <w:rFonts w:ascii="Arial" w:hAnsi="Arial" w:cs="Arial"/>
          <w:sz w:val="22"/>
          <w:szCs w:val="22"/>
        </w:rPr>
        <w:t>3</w:t>
      </w:r>
      <w:r>
        <w:rPr>
          <w:rFonts w:ascii="Arial" w:hAnsi="Arial" w:cs="Arial"/>
          <w:sz w:val="22"/>
          <w:szCs w:val="22"/>
        </w:rPr>
        <w:t xml:space="preserve">) </w:t>
      </w:r>
      <w:r w:rsidR="007C17AC" w:rsidRPr="003B1E1F">
        <w:rPr>
          <w:rFonts w:ascii="Arial" w:hAnsi="Arial" w:cs="Arial"/>
          <w:sz w:val="22"/>
          <w:szCs w:val="22"/>
        </w:rPr>
        <w:t xml:space="preserve">Die Daten sind vor dem Zugriff Unbefugter zu schützen. </w:t>
      </w:r>
    </w:p>
    <w:p w:rsidR="003B1E1F" w:rsidRDefault="003B1E1F" w:rsidP="003B1E1F">
      <w:pPr>
        <w:pStyle w:val="Listenabsatz"/>
        <w:autoSpaceDE w:val="0"/>
        <w:autoSpaceDN w:val="0"/>
        <w:adjustRightInd w:val="0"/>
        <w:ind w:left="0"/>
        <w:rPr>
          <w:rFonts w:ascii="Arial" w:hAnsi="Arial" w:cs="Arial"/>
          <w:sz w:val="22"/>
          <w:szCs w:val="22"/>
        </w:rPr>
      </w:pPr>
      <w:r>
        <w:rPr>
          <w:rFonts w:ascii="Arial" w:hAnsi="Arial" w:cs="Arial"/>
          <w:sz w:val="22"/>
          <w:szCs w:val="22"/>
        </w:rPr>
        <w:t>(</w:t>
      </w:r>
      <w:r w:rsidR="007C17AC" w:rsidRPr="003B1E1F">
        <w:rPr>
          <w:rFonts w:ascii="Arial" w:hAnsi="Arial" w:cs="Arial"/>
          <w:sz w:val="22"/>
          <w:szCs w:val="22"/>
        </w:rPr>
        <w:t>4</w:t>
      </w:r>
      <w:r>
        <w:rPr>
          <w:rFonts w:ascii="Arial" w:hAnsi="Arial" w:cs="Arial"/>
          <w:sz w:val="22"/>
          <w:szCs w:val="22"/>
        </w:rPr>
        <w:t xml:space="preserve">) </w:t>
      </w:r>
      <w:r w:rsidR="007C17AC" w:rsidRPr="003B1E1F">
        <w:rPr>
          <w:rFonts w:ascii="Arial" w:hAnsi="Arial" w:cs="Arial"/>
          <w:sz w:val="22"/>
          <w:szCs w:val="22"/>
        </w:rPr>
        <w:t>Sie sind unverzüglich zu löschen, wenn im Anschluss an die Einsichtnahme keine Täti</w:t>
      </w:r>
      <w:r w:rsidR="007C17AC" w:rsidRPr="003B1E1F">
        <w:rPr>
          <w:rFonts w:ascii="Arial" w:hAnsi="Arial" w:cs="Arial"/>
          <w:sz w:val="22"/>
          <w:szCs w:val="22"/>
        </w:rPr>
        <w:t>g</w:t>
      </w:r>
      <w:r w:rsidR="007C17AC" w:rsidRPr="003B1E1F">
        <w:rPr>
          <w:rFonts w:ascii="Arial" w:hAnsi="Arial" w:cs="Arial"/>
          <w:sz w:val="22"/>
          <w:szCs w:val="22"/>
        </w:rPr>
        <w:t xml:space="preserve">keit nach Absatz 3 Satz 2 oder Absatz 4 Satz 2 wahrgenommen wird. </w:t>
      </w:r>
    </w:p>
    <w:p w:rsidR="007C17AC" w:rsidRPr="007C17AC" w:rsidRDefault="003B1E1F" w:rsidP="003B1E1F">
      <w:pPr>
        <w:pStyle w:val="Listenabsatz"/>
        <w:autoSpaceDE w:val="0"/>
        <w:autoSpaceDN w:val="0"/>
        <w:adjustRightInd w:val="0"/>
        <w:ind w:left="0"/>
      </w:pPr>
      <w:r>
        <w:rPr>
          <w:rFonts w:ascii="Arial" w:hAnsi="Arial" w:cs="Arial"/>
          <w:sz w:val="22"/>
          <w:szCs w:val="22"/>
        </w:rPr>
        <w:t>(</w:t>
      </w:r>
      <w:r w:rsidR="007C17AC" w:rsidRPr="003B1E1F">
        <w:rPr>
          <w:rFonts w:ascii="Arial" w:hAnsi="Arial" w:cs="Arial"/>
          <w:sz w:val="22"/>
          <w:szCs w:val="22"/>
        </w:rPr>
        <w:t>5</w:t>
      </w:r>
      <w:r>
        <w:rPr>
          <w:rFonts w:ascii="Arial" w:hAnsi="Arial" w:cs="Arial"/>
          <w:sz w:val="22"/>
          <w:szCs w:val="22"/>
        </w:rPr>
        <w:t xml:space="preserve">) </w:t>
      </w:r>
      <w:r w:rsidR="007C17AC" w:rsidRPr="003B1E1F">
        <w:rPr>
          <w:rFonts w:ascii="Arial" w:hAnsi="Arial" w:cs="Arial"/>
          <w:sz w:val="22"/>
          <w:szCs w:val="22"/>
        </w:rPr>
        <w:t xml:space="preserve">Andernfalls sind die Daten spätestens drei Monate nach der Beendigung einer solchen Tätigkeit zu löschen. </w:t>
      </w:r>
    </w:p>
    <w:p w:rsidR="00E423D2" w:rsidRPr="007A65D6" w:rsidRDefault="00E423D2" w:rsidP="00E423D2">
      <w:pPr>
        <w:pStyle w:val="berschrift1"/>
        <w:ind w:right="-494"/>
        <w:rPr>
          <w:sz w:val="22"/>
          <w:szCs w:val="22"/>
        </w:rPr>
      </w:pPr>
      <w:r w:rsidRPr="007A65D6">
        <w:rPr>
          <w:sz w:val="22"/>
          <w:szCs w:val="22"/>
        </w:rPr>
        <w:t>SGB X § 67b Zulässigkeit der Datenverarbeitung und -nutzung</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Die Verarbeitung von Sozialdaten und deren Nutzung sind nur zulässig, soweit die nac</w:t>
      </w:r>
      <w:r w:rsidRPr="007A65D6">
        <w:rPr>
          <w:rFonts w:ascii="Arial" w:hAnsi="Arial" w:cs="Arial"/>
          <w:sz w:val="22"/>
          <w:szCs w:val="22"/>
        </w:rPr>
        <w:t>h</w:t>
      </w:r>
      <w:r w:rsidRPr="007A65D6">
        <w:rPr>
          <w:rFonts w:ascii="Arial" w:hAnsi="Arial" w:cs="Arial"/>
          <w:sz w:val="22"/>
          <w:szCs w:val="22"/>
        </w:rPr>
        <w:t>folgenden Vorschriften oder eine andere Rechtsvorschrift in diesem Gesetzbuch es erlauben oder anordnen oder soweit der Betroffene eingewilligt hat. § 67a Abs. 1 Satz 2 bis 4 gilt en</w:t>
      </w:r>
      <w:r w:rsidRPr="007A65D6">
        <w:rPr>
          <w:rFonts w:ascii="Arial" w:hAnsi="Arial" w:cs="Arial"/>
          <w:sz w:val="22"/>
          <w:szCs w:val="22"/>
        </w:rPr>
        <w:t>t</w:t>
      </w:r>
      <w:r w:rsidRPr="007A65D6">
        <w:rPr>
          <w:rFonts w:ascii="Arial" w:hAnsi="Arial" w:cs="Arial"/>
          <w:sz w:val="22"/>
          <w:szCs w:val="22"/>
        </w:rPr>
        <w:t>sprechend mit der Maßgabe, dass die Übermittlung ohne Einwilligung des Betroffenen nur insoweit zulässig ist, als es sich um Daten über die Gesundheit oder das Sexualleben ha</w:t>
      </w:r>
      <w:r w:rsidRPr="007A65D6">
        <w:rPr>
          <w:rFonts w:ascii="Arial" w:hAnsi="Arial" w:cs="Arial"/>
          <w:sz w:val="22"/>
          <w:szCs w:val="22"/>
        </w:rPr>
        <w:t>n</w:t>
      </w:r>
      <w:r w:rsidRPr="007A65D6">
        <w:rPr>
          <w:rFonts w:ascii="Arial" w:hAnsi="Arial" w:cs="Arial"/>
          <w:sz w:val="22"/>
          <w:szCs w:val="22"/>
        </w:rPr>
        <w:t>delt oder die Übermittlung zwischen Trägern der gesetzlichen Rentenversicherung oder zw</w:t>
      </w:r>
      <w:r w:rsidRPr="007A65D6">
        <w:rPr>
          <w:rFonts w:ascii="Arial" w:hAnsi="Arial" w:cs="Arial"/>
          <w:sz w:val="22"/>
          <w:szCs w:val="22"/>
        </w:rPr>
        <w:t>i</w:t>
      </w:r>
      <w:r w:rsidRPr="007A65D6">
        <w:rPr>
          <w:rFonts w:ascii="Arial" w:hAnsi="Arial" w:cs="Arial"/>
          <w:sz w:val="22"/>
          <w:szCs w:val="22"/>
        </w:rPr>
        <w:t>schen Trägern der gesetzlichen Rentenversicherung und deren Verbänden und Arbeitsg</w:t>
      </w:r>
      <w:r w:rsidRPr="007A65D6">
        <w:rPr>
          <w:rFonts w:ascii="Arial" w:hAnsi="Arial" w:cs="Arial"/>
          <w:sz w:val="22"/>
          <w:szCs w:val="22"/>
        </w:rPr>
        <w:t>e</w:t>
      </w:r>
      <w:r w:rsidRPr="007A65D6">
        <w:rPr>
          <w:rFonts w:ascii="Arial" w:hAnsi="Arial" w:cs="Arial"/>
          <w:sz w:val="22"/>
          <w:szCs w:val="22"/>
        </w:rPr>
        <w:t>meinschaften zur Erfüllung einer gesetzlichen Aufgabe erforderlich ist.</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(2) Wird die Einwilligung bei dem Betroffenen eingeholt, ist er auf den Zweck der vorgeseh</w:t>
      </w:r>
      <w:r w:rsidRPr="007A65D6">
        <w:rPr>
          <w:rFonts w:ascii="Arial" w:hAnsi="Arial" w:cs="Arial"/>
          <w:sz w:val="22"/>
          <w:szCs w:val="22"/>
        </w:rPr>
        <w:t>e</w:t>
      </w:r>
      <w:r w:rsidRPr="007A65D6">
        <w:rPr>
          <w:rFonts w:ascii="Arial" w:hAnsi="Arial" w:cs="Arial"/>
          <w:sz w:val="22"/>
          <w:szCs w:val="22"/>
        </w:rPr>
        <w:t>nen Verarbeitung oder Nutzung sowie auf die Folgen der Verweigerung der Einwilligung hi</w:t>
      </w:r>
      <w:r w:rsidRPr="007A65D6">
        <w:rPr>
          <w:rFonts w:ascii="Arial" w:hAnsi="Arial" w:cs="Arial"/>
          <w:sz w:val="22"/>
          <w:szCs w:val="22"/>
        </w:rPr>
        <w:t>n</w:t>
      </w:r>
      <w:r w:rsidRPr="007A65D6">
        <w:rPr>
          <w:rFonts w:ascii="Arial" w:hAnsi="Arial" w:cs="Arial"/>
          <w:sz w:val="22"/>
          <w:szCs w:val="22"/>
        </w:rPr>
        <w:t>zuweisen. Die Einwilligung des Betroffenen ist nur wirksam, wenn sie auf dessen freier En</w:t>
      </w:r>
      <w:r w:rsidRPr="007A65D6">
        <w:rPr>
          <w:rFonts w:ascii="Arial" w:hAnsi="Arial" w:cs="Arial"/>
          <w:sz w:val="22"/>
          <w:szCs w:val="22"/>
        </w:rPr>
        <w:t>t</w:t>
      </w:r>
      <w:r w:rsidRPr="007A65D6">
        <w:rPr>
          <w:rFonts w:ascii="Arial" w:hAnsi="Arial" w:cs="Arial"/>
          <w:sz w:val="22"/>
          <w:szCs w:val="22"/>
        </w:rPr>
        <w:t>scheidung beruht. Die Einwilligung und der Hinweis bedürfen der Schriftform, soweit nicht wegen besonderer Umstände eine andere Form angemessen ist. Soll die Einwilligung z</w:t>
      </w:r>
      <w:r w:rsidRPr="007A65D6">
        <w:rPr>
          <w:rFonts w:ascii="Arial" w:hAnsi="Arial" w:cs="Arial"/>
          <w:sz w:val="22"/>
          <w:szCs w:val="22"/>
        </w:rPr>
        <w:t>u</w:t>
      </w:r>
      <w:r w:rsidRPr="007A65D6">
        <w:rPr>
          <w:rFonts w:ascii="Arial" w:hAnsi="Arial" w:cs="Arial"/>
          <w:sz w:val="22"/>
          <w:szCs w:val="22"/>
        </w:rPr>
        <w:t>sammen mit anderen Erklärungen schriftlich erteilt werden, ist die Einwilligungserklärung im äußeren Erscheinungsbild der Erklärung hervorzuheben.</w:t>
      </w:r>
    </w:p>
    <w:p w:rsidR="00E423D2" w:rsidRPr="007A65D6" w:rsidRDefault="00E423D2" w:rsidP="00E423D2">
      <w:pPr>
        <w:pStyle w:val="berschrift1"/>
        <w:rPr>
          <w:sz w:val="22"/>
          <w:szCs w:val="22"/>
        </w:rPr>
      </w:pPr>
      <w:r w:rsidRPr="007A65D6">
        <w:rPr>
          <w:sz w:val="22"/>
          <w:szCs w:val="22"/>
        </w:rPr>
        <w:t>SGB X § 67d Übermittlungsgrundsätze</w:t>
      </w:r>
    </w:p>
    <w:p w:rsidR="00E423D2" w:rsidRPr="007A65D6" w:rsidRDefault="00E423D2" w:rsidP="00E423D2">
      <w:pPr>
        <w:autoSpaceDE w:val="0"/>
        <w:autoSpaceDN w:val="0"/>
        <w:adjustRightInd w:val="0"/>
        <w:rPr>
          <w:rFonts w:ascii="Arial" w:hAnsi="Arial" w:cs="Arial"/>
          <w:sz w:val="22"/>
          <w:szCs w:val="22"/>
        </w:rPr>
      </w:pPr>
      <w:r w:rsidRPr="007A65D6">
        <w:rPr>
          <w:rFonts w:ascii="Arial" w:hAnsi="Arial" w:cs="Arial"/>
          <w:sz w:val="22"/>
          <w:szCs w:val="22"/>
        </w:rPr>
        <w:t>(1) Eine Übermittlung von Sozialdaten ist nur zulässig, soweit eine gesetzliche Übermit</w:t>
      </w:r>
      <w:r w:rsidRPr="007A65D6">
        <w:rPr>
          <w:rFonts w:ascii="Arial" w:hAnsi="Arial" w:cs="Arial"/>
          <w:sz w:val="22"/>
          <w:szCs w:val="22"/>
        </w:rPr>
        <w:t>t</w:t>
      </w:r>
      <w:r w:rsidRPr="007A65D6">
        <w:rPr>
          <w:rFonts w:ascii="Arial" w:hAnsi="Arial" w:cs="Arial"/>
          <w:sz w:val="22"/>
          <w:szCs w:val="22"/>
        </w:rPr>
        <w:t>lungsbefugnis nach den §§ 68 bis 77 oder nach einer anderen Rechtsvorschrift in diesem Gesetzbuch vorliegt.</w:t>
      </w:r>
    </w:p>
    <w:p w:rsidR="00E423D2" w:rsidRDefault="00E423D2" w:rsidP="00E423D2">
      <w:pPr>
        <w:rPr>
          <w:rFonts w:ascii="Arial" w:hAnsi="Arial" w:cs="Arial"/>
          <w:sz w:val="22"/>
          <w:szCs w:val="22"/>
        </w:rPr>
      </w:pPr>
      <w:r w:rsidRPr="007A65D6">
        <w:rPr>
          <w:rFonts w:ascii="Arial" w:hAnsi="Arial" w:cs="Arial"/>
          <w:sz w:val="22"/>
          <w:szCs w:val="22"/>
        </w:rPr>
        <w:t>(2) Die Verantwortung für die Zulässigkeit der Übermittlung trägt die übermittelnde Stelle. Erfolgt die Übermittlung auf Ersuchen des Dritten, an den die Daten übermittelt werden, trägt dieser die Verantwortung für die Richtigkeit der Angaben in seinem Ersuchen.</w:t>
      </w:r>
    </w:p>
    <w:p w:rsidR="00F147FD" w:rsidRDefault="00F147FD" w:rsidP="00E423D2">
      <w:pPr>
        <w:rPr>
          <w:rFonts w:ascii="Arial" w:hAnsi="Arial" w:cs="Arial"/>
          <w:sz w:val="22"/>
          <w:szCs w:val="22"/>
        </w:rPr>
      </w:pPr>
    </w:p>
    <w:p w:rsidR="00F147FD" w:rsidRDefault="00F147FD" w:rsidP="00E423D2">
      <w:pPr>
        <w:rPr>
          <w:rFonts w:ascii="Arial" w:hAnsi="Arial" w:cs="Arial"/>
          <w:sz w:val="22"/>
          <w:szCs w:val="22"/>
        </w:rPr>
      </w:pPr>
    </w:p>
    <w:p w:rsidR="00D41FA6" w:rsidRDefault="00D41FA6">
      <w:pPr>
        <w:rPr>
          <w:rFonts w:ascii="Arial" w:hAnsi="Arial" w:cs="Arial"/>
          <w:sz w:val="22"/>
          <w:szCs w:val="22"/>
        </w:rPr>
      </w:pPr>
      <w:r>
        <w:rPr>
          <w:rFonts w:ascii="Arial" w:hAnsi="Arial" w:cs="Arial"/>
          <w:sz w:val="22"/>
          <w:szCs w:val="22"/>
        </w:rPr>
        <w:br w:type="page"/>
      </w:r>
    </w:p>
    <w:p w:rsidR="00F147FD" w:rsidRPr="007A65D6" w:rsidRDefault="00F147FD" w:rsidP="00F147FD">
      <w:pPr>
        <w:rPr>
          <w:rFonts w:ascii="Arial" w:hAnsi="Arial" w:cs="Arial"/>
          <w:sz w:val="22"/>
          <w:szCs w:val="22"/>
        </w:rPr>
      </w:pPr>
      <w:r w:rsidRPr="007A65D6">
        <w:rPr>
          <w:rFonts w:ascii="Arial" w:hAnsi="Arial" w:cs="Arial"/>
          <w:sz w:val="22"/>
          <w:szCs w:val="22"/>
        </w:rPr>
        <w:t>Name der Einrichtung</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Frau/Herr</w:t>
      </w:r>
    </w:p>
    <w:p w:rsidR="00F147FD" w:rsidRPr="007A65D6" w:rsidRDefault="00F147FD" w:rsidP="00F147FD">
      <w:pPr>
        <w:pBdr>
          <w:bottom w:val="single" w:sz="12" w:space="1" w:color="auto"/>
        </w:pBd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Name, Vorname, Geburtsdatum (in Druckschrift)</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b/>
          <w:sz w:val="22"/>
          <w:szCs w:val="22"/>
        </w:rPr>
      </w:pPr>
    </w:p>
    <w:p w:rsidR="00F147FD" w:rsidRPr="007A65D6" w:rsidRDefault="00F147FD" w:rsidP="00F147FD">
      <w:pPr>
        <w:rPr>
          <w:rFonts w:ascii="Arial" w:hAnsi="Arial" w:cs="Arial"/>
          <w:b/>
          <w:sz w:val="22"/>
          <w:szCs w:val="22"/>
        </w:rPr>
      </w:pPr>
    </w:p>
    <w:p w:rsidR="00F147FD" w:rsidRPr="007A65D6" w:rsidRDefault="00F147FD" w:rsidP="00F147FD">
      <w:pPr>
        <w:rPr>
          <w:rFonts w:ascii="Arial" w:hAnsi="Arial" w:cs="Arial"/>
          <w:b/>
          <w:sz w:val="22"/>
          <w:szCs w:val="22"/>
        </w:rPr>
      </w:pPr>
      <w:r w:rsidRPr="007A65D6">
        <w:rPr>
          <w:rFonts w:ascii="Arial" w:hAnsi="Arial" w:cs="Arial"/>
          <w:b/>
          <w:sz w:val="22"/>
          <w:szCs w:val="22"/>
        </w:rPr>
        <w:t>Verpflichtung auf das Sozialgeheimnis nach § 35 SGB I</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Gemäß § 35 Abs. 1 SGB I bin ich zur Wahrnehmung des Sozialgeheimnisses verpflichtet worden.</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Es ist mir untersagt, Sozialdaten unbefugt oder zu einem anderen als dem zu meiner jeweil</w:t>
      </w:r>
      <w:r w:rsidRPr="007A65D6">
        <w:rPr>
          <w:rFonts w:ascii="Arial" w:hAnsi="Arial" w:cs="Arial"/>
          <w:sz w:val="22"/>
          <w:szCs w:val="22"/>
        </w:rPr>
        <w:t>i</w:t>
      </w:r>
      <w:r w:rsidRPr="007A65D6">
        <w:rPr>
          <w:rFonts w:ascii="Arial" w:hAnsi="Arial" w:cs="Arial"/>
          <w:sz w:val="22"/>
          <w:szCs w:val="22"/>
        </w:rPr>
        <w:t>gen rechtmäßigen Aufgabenerfüllung erforderlichen Zweck zu erheben, zu verarbeiten oder zu nutzen sowie insbesondere diese Daten unbefugt dritten Personen bekannt zu geben oder zugänglich zu machen.</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Eine Erhebung, Verarbeitung und Nutzung von Sozialdaten ist nur unter den Voraussetzu</w:t>
      </w:r>
      <w:r w:rsidRPr="007A65D6">
        <w:rPr>
          <w:rFonts w:ascii="Arial" w:hAnsi="Arial" w:cs="Arial"/>
          <w:sz w:val="22"/>
          <w:szCs w:val="22"/>
        </w:rPr>
        <w:t>n</w:t>
      </w:r>
      <w:r w:rsidRPr="007A65D6">
        <w:rPr>
          <w:rFonts w:ascii="Arial" w:hAnsi="Arial" w:cs="Arial"/>
          <w:sz w:val="22"/>
          <w:szCs w:val="22"/>
        </w:rPr>
        <w:t>gen des Vierten Kapitels des Sozialgesetzbuches VIII i. V. m. dem Zweiten  Kapitel des S</w:t>
      </w:r>
      <w:r w:rsidRPr="007A65D6">
        <w:rPr>
          <w:rFonts w:ascii="Arial" w:hAnsi="Arial" w:cs="Arial"/>
          <w:sz w:val="22"/>
          <w:szCs w:val="22"/>
        </w:rPr>
        <w:t>o</w:t>
      </w:r>
      <w:r w:rsidRPr="007A65D6">
        <w:rPr>
          <w:rFonts w:ascii="Arial" w:hAnsi="Arial" w:cs="Arial"/>
          <w:sz w:val="22"/>
          <w:szCs w:val="22"/>
        </w:rPr>
        <w:t>zialgesetzbuches X zulässig.</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Das Sozialgeheimnis ist auch für die Erfüllung des Schutzauftrages nach § 8a SGB VIII ei</w:t>
      </w:r>
      <w:r w:rsidRPr="007A65D6">
        <w:rPr>
          <w:rFonts w:ascii="Arial" w:hAnsi="Arial" w:cs="Arial"/>
          <w:sz w:val="22"/>
          <w:szCs w:val="22"/>
        </w:rPr>
        <w:t>n</w:t>
      </w:r>
      <w:r w:rsidRPr="007A65D6">
        <w:rPr>
          <w:rFonts w:ascii="Arial" w:hAnsi="Arial" w:cs="Arial"/>
          <w:sz w:val="22"/>
          <w:szCs w:val="22"/>
        </w:rPr>
        <w:t>zuhalten (§ 62 Abs. 3 Nr. 2d, § 64 Abs. 2a, § 65 Abs. 1 Nr. 3 SGB VIII).</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Diese Verpflichtung auf das Sozialgeheimnis besteht nach Beendigung meiner Tätigkeit fort.</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Auf die Folgen der Verletzung des Sozialgeheimnisses gemäß §§ 85, 85a SGB X wurde ich hingewiesen.</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b/>
          <w:sz w:val="22"/>
          <w:szCs w:val="22"/>
        </w:rPr>
        <w:t>Hinweis:</w:t>
      </w:r>
      <w:r w:rsidRPr="007A65D6">
        <w:rPr>
          <w:rFonts w:ascii="Arial" w:hAnsi="Arial" w:cs="Arial"/>
          <w:sz w:val="22"/>
          <w:szCs w:val="22"/>
        </w:rPr>
        <w:t xml:space="preserve"> Bitte beachten Sie, dass die Verpflichtungserklärung Bestandteil Ihrer Personalu</w:t>
      </w:r>
      <w:r w:rsidRPr="007A65D6">
        <w:rPr>
          <w:rFonts w:ascii="Arial" w:hAnsi="Arial" w:cs="Arial"/>
          <w:sz w:val="22"/>
          <w:szCs w:val="22"/>
        </w:rPr>
        <w:t>n</w:t>
      </w:r>
      <w:r w:rsidRPr="007A65D6">
        <w:rPr>
          <w:rFonts w:ascii="Arial" w:hAnsi="Arial" w:cs="Arial"/>
          <w:sz w:val="22"/>
          <w:szCs w:val="22"/>
        </w:rPr>
        <w:t>terlagen ist und auf verlangen vorgelegt werden muss.</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Dresden, den</w:t>
      </w: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p>
    <w:p w:rsidR="00F147FD" w:rsidRPr="007A65D6" w:rsidRDefault="00F147FD" w:rsidP="00F147FD">
      <w:pPr>
        <w:rPr>
          <w:rFonts w:ascii="Arial" w:hAnsi="Arial" w:cs="Arial"/>
          <w:sz w:val="22"/>
          <w:szCs w:val="22"/>
        </w:rPr>
      </w:pPr>
      <w:r w:rsidRPr="007A65D6">
        <w:rPr>
          <w:rFonts w:ascii="Arial" w:hAnsi="Arial" w:cs="Arial"/>
          <w:sz w:val="22"/>
          <w:szCs w:val="22"/>
        </w:rPr>
        <w:t>…………………………………..</w:t>
      </w:r>
      <w:r w:rsidRPr="007A65D6">
        <w:rPr>
          <w:rFonts w:ascii="Arial" w:hAnsi="Arial" w:cs="Arial"/>
          <w:sz w:val="22"/>
          <w:szCs w:val="22"/>
        </w:rPr>
        <w:tab/>
      </w:r>
      <w:r w:rsidRPr="007A65D6">
        <w:rPr>
          <w:rFonts w:ascii="Arial" w:hAnsi="Arial" w:cs="Arial"/>
          <w:sz w:val="22"/>
          <w:szCs w:val="22"/>
        </w:rPr>
        <w:tab/>
      </w:r>
      <w:r w:rsidRPr="007A65D6">
        <w:rPr>
          <w:rFonts w:ascii="Arial" w:hAnsi="Arial" w:cs="Arial"/>
          <w:sz w:val="22"/>
          <w:szCs w:val="22"/>
        </w:rPr>
        <w:tab/>
        <w:t>……………………..………….</w:t>
      </w:r>
    </w:p>
    <w:p w:rsidR="00F147FD" w:rsidRPr="007A65D6" w:rsidRDefault="00F147FD" w:rsidP="00F147FD">
      <w:pPr>
        <w:rPr>
          <w:rFonts w:ascii="Arial" w:hAnsi="Arial" w:cs="Arial"/>
          <w:sz w:val="22"/>
          <w:szCs w:val="22"/>
        </w:rPr>
      </w:pPr>
      <w:r w:rsidRPr="007A65D6">
        <w:rPr>
          <w:rFonts w:ascii="Arial" w:hAnsi="Arial" w:cs="Arial"/>
          <w:sz w:val="22"/>
          <w:szCs w:val="22"/>
        </w:rPr>
        <w:t>Unterschrift der Verpflichtenden</w:t>
      </w:r>
      <w:r w:rsidRPr="007A65D6">
        <w:rPr>
          <w:rFonts w:ascii="Arial" w:hAnsi="Arial" w:cs="Arial"/>
          <w:sz w:val="22"/>
          <w:szCs w:val="22"/>
        </w:rPr>
        <w:tab/>
      </w:r>
      <w:r w:rsidRPr="007A65D6">
        <w:rPr>
          <w:rFonts w:ascii="Arial" w:hAnsi="Arial" w:cs="Arial"/>
          <w:sz w:val="22"/>
          <w:szCs w:val="22"/>
        </w:rPr>
        <w:tab/>
      </w:r>
      <w:r w:rsidRPr="007A65D6">
        <w:rPr>
          <w:rFonts w:ascii="Arial" w:hAnsi="Arial" w:cs="Arial"/>
          <w:sz w:val="22"/>
          <w:szCs w:val="22"/>
        </w:rPr>
        <w:tab/>
        <w:t>Unterschrift des Verpflichteten</w:t>
      </w:r>
    </w:p>
    <w:p w:rsidR="00F147FD" w:rsidRPr="007A65D6" w:rsidRDefault="00F147FD" w:rsidP="00E423D2">
      <w:pPr>
        <w:rPr>
          <w:rFonts w:ascii="Arial" w:hAnsi="Arial" w:cs="Arial"/>
          <w:sz w:val="22"/>
          <w:szCs w:val="22"/>
        </w:rPr>
      </w:pPr>
    </w:p>
    <w:sectPr w:rsidR="00F147FD" w:rsidRPr="007A65D6" w:rsidSect="00636EA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7AC" w:rsidRDefault="007C17AC">
      <w:r>
        <w:separator/>
      </w:r>
    </w:p>
  </w:endnote>
  <w:endnote w:type="continuationSeparator" w:id="0">
    <w:p w:rsidR="007C17AC" w:rsidRDefault="007C17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AC" w:rsidRPr="0044036C" w:rsidRDefault="006D5BEC">
    <w:pPr>
      <w:pStyle w:val="Fuzeile"/>
      <w:jc w:val="right"/>
      <w:rPr>
        <w:rFonts w:ascii="Arial" w:hAnsi="Arial" w:cs="Arial"/>
        <w:sz w:val="22"/>
        <w:szCs w:val="22"/>
      </w:rPr>
    </w:pPr>
    <w:r w:rsidRPr="0044036C">
      <w:rPr>
        <w:rFonts w:ascii="Arial" w:hAnsi="Arial" w:cs="Arial"/>
        <w:sz w:val="22"/>
        <w:szCs w:val="22"/>
      </w:rPr>
      <w:fldChar w:fldCharType="begin"/>
    </w:r>
    <w:r w:rsidR="007C17AC" w:rsidRPr="0044036C">
      <w:rPr>
        <w:rFonts w:ascii="Arial" w:hAnsi="Arial" w:cs="Arial"/>
        <w:sz w:val="22"/>
        <w:szCs w:val="22"/>
      </w:rPr>
      <w:instrText xml:space="preserve"> PAGE   \* MERGEFORMAT </w:instrText>
    </w:r>
    <w:r w:rsidRPr="0044036C">
      <w:rPr>
        <w:rFonts w:ascii="Arial" w:hAnsi="Arial" w:cs="Arial"/>
        <w:sz w:val="22"/>
        <w:szCs w:val="22"/>
      </w:rPr>
      <w:fldChar w:fldCharType="separate"/>
    </w:r>
    <w:r w:rsidR="00D41FA6">
      <w:rPr>
        <w:rFonts w:ascii="Arial" w:hAnsi="Arial" w:cs="Arial"/>
        <w:noProof/>
        <w:sz w:val="22"/>
        <w:szCs w:val="22"/>
      </w:rPr>
      <w:t>1</w:t>
    </w:r>
    <w:r w:rsidRPr="0044036C">
      <w:rPr>
        <w:rFonts w:ascii="Arial" w:hAnsi="Arial" w:cs="Arial"/>
        <w:sz w:val="22"/>
        <w:szCs w:val="22"/>
      </w:rPr>
      <w:fldChar w:fldCharType="end"/>
    </w:r>
  </w:p>
  <w:p w:rsidR="007C17AC" w:rsidRDefault="007C17A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7AC" w:rsidRDefault="007C17AC">
      <w:r>
        <w:separator/>
      </w:r>
    </w:p>
  </w:footnote>
  <w:footnote w:type="continuationSeparator" w:id="0">
    <w:p w:rsidR="007C17AC" w:rsidRDefault="007C1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AC" w:rsidRDefault="007C17AC" w:rsidP="007A65D6">
    <w:pPr>
      <w:pStyle w:val="Kopfzeile"/>
      <w:jc w:val="right"/>
    </w:pPr>
  </w:p>
  <w:p w:rsidR="007C17AC" w:rsidRPr="007A65D6" w:rsidRDefault="007C17AC" w:rsidP="007A65D6">
    <w:pPr>
      <w:pStyle w:val="Kopfzeile"/>
      <w:jc w:val="right"/>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B527F"/>
    <w:multiLevelType w:val="multilevel"/>
    <w:tmpl w:val="E856EEDE"/>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505BEA"/>
    <w:multiLevelType w:val="hybridMultilevel"/>
    <w:tmpl w:val="73469EF0"/>
    <w:lvl w:ilvl="0" w:tplc="EF6C90B6">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43C11A9"/>
    <w:multiLevelType w:val="hybridMultilevel"/>
    <w:tmpl w:val="10C23310"/>
    <w:lvl w:ilvl="0" w:tplc="40685228">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efaultTabStop w:val="708"/>
  <w:autoHyphenation/>
  <w:hyphenationZone w:val="425"/>
  <w:characterSpacingControl w:val="doNotCompress"/>
  <w:hdrShapeDefaults>
    <o:shapedefaults v:ext="edit" spidmax="9217"/>
  </w:hdrShapeDefaults>
  <w:footnotePr>
    <w:footnote w:id="-1"/>
    <w:footnote w:id="0"/>
  </w:footnotePr>
  <w:endnotePr>
    <w:endnote w:id="-1"/>
    <w:endnote w:id="0"/>
  </w:endnotePr>
  <w:compat/>
  <w:rsids>
    <w:rsidRoot w:val="00EE1548"/>
    <w:rsid w:val="0002431B"/>
    <w:rsid w:val="00084DCE"/>
    <w:rsid w:val="000D0A1C"/>
    <w:rsid w:val="002A2A3F"/>
    <w:rsid w:val="002B53FD"/>
    <w:rsid w:val="003B1E1F"/>
    <w:rsid w:val="0044036C"/>
    <w:rsid w:val="004D7F8F"/>
    <w:rsid w:val="004E7373"/>
    <w:rsid w:val="00636EA5"/>
    <w:rsid w:val="006D5BEC"/>
    <w:rsid w:val="00725135"/>
    <w:rsid w:val="007A65D6"/>
    <w:rsid w:val="007C17AC"/>
    <w:rsid w:val="007E460C"/>
    <w:rsid w:val="00A137DE"/>
    <w:rsid w:val="00C657ED"/>
    <w:rsid w:val="00C90D3C"/>
    <w:rsid w:val="00D12620"/>
    <w:rsid w:val="00D41FA6"/>
    <w:rsid w:val="00D53924"/>
    <w:rsid w:val="00DC6F7D"/>
    <w:rsid w:val="00DE0266"/>
    <w:rsid w:val="00E02880"/>
    <w:rsid w:val="00E423D2"/>
    <w:rsid w:val="00EE1548"/>
    <w:rsid w:val="00EF5D12"/>
    <w:rsid w:val="00F147FD"/>
    <w:rsid w:val="00F61370"/>
    <w:rsid w:val="00FE0A0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E1548"/>
    <w:rPr>
      <w:sz w:val="24"/>
      <w:szCs w:val="24"/>
    </w:rPr>
  </w:style>
  <w:style w:type="paragraph" w:styleId="berschrift1">
    <w:name w:val="heading 1"/>
    <w:basedOn w:val="Standard"/>
    <w:next w:val="Standard"/>
    <w:link w:val="berschrift1Zchn"/>
    <w:qFormat/>
    <w:rsid w:val="00E423D2"/>
    <w:pPr>
      <w:keepNext/>
      <w:autoSpaceDE w:val="0"/>
      <w:autoSpaceDN w:val="0"/>
      <w:adjustRightInd w:val="0"/>
      <w:outlineLvl w:val="0"/>
    </w:pPr>
    <w:rPr>
      <w:rFonts w:ascii="Arial" w:hAnsi="Arial" w:cs="Arial"/>
      <w:b/>
      <w:bCs/>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E1548"/>
    <w:pPr>
      <w:tabs>
        <w:tab w:val="center" w:pos="4536"/>
        <w:tab w:val="right" w:pos="9072"/>
      </w:tabs>
    </w:pPr>
  </w:style>
  <w:style w:type="paragraph" w:styleId="Fuzeile">
    <w:name w:val="footer"/>
    <w:basedOn w:val="Standard"/>
    <w:link w:val="FuzeileZchn"/>
    <w:uiPriority w:val="99"/>
    <w:rsid w:val="00C90D3C"/>
    <w:pPr>
      <w:tabs>
        <w:tab w:val="center" w:pos="4536"/>
        <w:tab w:val="right" w:pos="9072"/>
      </w:tabs>
    </w:pPr>
  </w:style>
  <w:style w:type="character" w:customStyle="1" w:styleId="berschrift1Zchn">
    <w:name w:val="Überschrift 1 Zchn"/>
    <w:basedOn w:val="Absatz-Standardschriftart"/>
    <w:link w:val="berschrift1"/>
    <w:rsid w:val="00E423D2"/>
    <w:rPr>
      <w:rFonts w:ascii="Arial" w:hAnsi="Arial" w:cs="Arial"/>
      <w:b/>
      <w:bCs/>
      <w:sz w:val="16"/>
    </w:rPr>
  </w:style>
  <w:style w:type="character" w:customStyle="1" w:styleId="FuzeileZchn">
    <w:name w:val="Fußzeile Zchn"/>
    <w:basedOn w:val="Absatz-Standardschriftart"/>
    <w:link w:val="Fuzeile"/>
    <w:uiPriority w:val="99"/>
    <w:rsid w:val="0044036C"/>
    <w:rPr>
      <w:sz w:val="24"/>
      <w:szCs w:val="24"/>
    </w:rPr>
  </w:style>
  <w:style w:type="paragraph" w:styleId="Sprechblasentext">
    <w:name w:val="Balloon Text"/>
    <w:basedOn w:val="Standard"/>
    <w:link w:val="SprechblasentextZchn"/>
    <w:rsid w:val="0044036C"/>
    <w:rPr>
      <w:rFonts w:ascii="Tahoma" w:hAnsi="Tahoma" w:cs="Tahoma"/>
      <w:sz w:val="16"/>
      <w:szCs w:val="16"/>
    </w:rPr>
  </w:style>
  <w:style w:type="character" w:customStyle="1" w:styleId="SprechblasentextZchn">
    <w:name w:val="Sprechblasentext Zchn"/>
    <w:basedOn w:val="Absatz-Standardschriftart"/>
    <w:link w:val="Sprechblasentext"/>
    <w:rsid w:val="0044036C"/>
    <w:rPr>
      <w:rFonts w:ascii="Tahoma" w:hAnsi="Tahoma" w:cs="Tahoma"/>
      <w:sz w:val="16"/>
      <w:szCs w:val="16"/>
    </w:rPr>
  </w:style>
  <w:style w:type="paragraph" w:styleId="Listenabsatz">
    <w:name w:val="List Paragraph"/>
    <w:basedOn w:val="Standard"/>
    <w:uiPriority w:val="34"/>
    <w:qFormat/>
    <w:rsid w:val="007C17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CDE96-FFE3-45C1-8138-63E2BC45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8504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Anlage 3</vt:lpstr>
    </vt:vector>
  </TitlesOfParts>
  <Company>LHD</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3</dc:title>
  <dc:subject/>
  <dc:creator>breiterg</dc:creator>
  <cp:keywords/>
  <dc:description/>
  <cp:lastModifiedBy>puschbj</cp:lastModifiedBy>
  <cp:revision>3</cp:revision>
  <cp:lastPrinted>2012-02-15T07:54:00Z</cp:lastPrinted>
  <dcterms:created xsi:type="dcterms:W3CDTF">2013-07-25T14:49:00Z</dcterms:created>
  <dcterms:modified xsi:type="dcterms:W3CDTF">2013-07-25T15:59:00Z</dcterms:modified>
</cp:coreProperties>
</file>